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rFonts w:eastAsia="Calibri" w:cs="Calibri"/>
          <w:b/>
          <w:color w:val="auto"/>
          <w:kern w:val="0"/>
          <w:sz w:val="48"/>
          <w:szCs w:val="48"/>
          <w:lang w:val="en-GB" w:eastAsia="en-GB" w:bidi="ar-SA"/>
        </w:rPr>
        <w:t>UK Family</w:t>
      </w:r>
      <w:r>
        <w:rPr>
          <w:b/>
          <w:sz w:val="48"/>
          <w:szCs w:val="48"/>
        </w:rPr>
        <w:t xml:space="preserve"> Mediation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313940" cy="89725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4480" cy="208280"/>
                <wp:effectExtent l="13335" t="13335" r="12065" b="12065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488pt;margin-top:0.05pt;width:22.3pt;height:16.3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4480" cy="198755"/>
                <wp:effectExtent l="13335" t="12700" r="12065" b="12700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488pt;margin-top:1pt;width:22.3pt;height:15.55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LibreOffice/6.4.7.2$Linux_X86_64 LibreOffice_project/40$Build-2</Application>
  <Pages>3</Pages>
  <Words>319</Words>
  <Characters>2322</Characters>
  <CharactersWithSpaces>2791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2022-01-18T12:13:00Z</dcterms:created>
  <dc:creator/>
  <dc:description/>
  <dc:language>en-IN</dc:language>
  <cp:lastModifiedBy/>
  <dcterms:modified xsi:type="dcterms:W3CDTF">2024-06-18T10:36:34Z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